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B4ABD1" w14:textId="77777777" w:rsidR="00815A98" w:rsidRPr="0018011C" w:rsidRDefault="00B860EF" w:rsidP="00B860EF">
      <w:pPr>
        <w:pStyle w:val="Ttulo1"/>
        <w:rPr>
          <w:b/>
          <w:bCs/>
          <w:color w:val="FF0000"/>
        </w:rPr>
      </w:pPr>
      <w:r w:rsidRPr="0018011C">
        <w:rPr>
          <w:b/>
          <w:bCs/>
          <w:color w:val="FF0000"/>
        </w:rPr>
        <w:t xml:space="preserve">Ventajas de un Geotextil Integral Mirafi RS280i® </w:t>
      </w:r>
    </w:p>
    <w:p w14:paraId="043040A7" w14:textId="77777777" w:rsidR="00B860EF" w:rsidRDefault="00B860EF" w:rsidP="00B860EF"/>
    <w:p w14:paraId="4A2D0455" w14:textId="13F4BC0E" w:rsidR="00B860EF" w:rsidRDefault="00B860EF" w:rsidP="00B860EF">
      <w:pPr>
        <w:autoSpaceDE w:val="0"/>
        <w:autoSpaceDN w:val="0"/>
        <w:adjustRightInd w:val="0"/>
        <w:spacing w:after="250"/>
        <w:jc w:val="both"/>
        <w:rPr>
          <w:rFonts w:ascii="Arial" w:hAnsi="Arial" w:cs="Arial"/>
          <w:b/>
          <w:color w:val="000000"/>
          <w:sz w:val="24"/>
          <w:szCs w:val="24"/>
        </w:rPr>
      </w:pPr>
      <w:r w:rsidRPr="00B860EF">
        <w:rPr>
          <w:rFonts w:ascii="Arial" w:hAnsi="Arial" w:cs="Arial"/>
          <w:b/>
          <w:color w:val="000000"/>
          <w:sz w:val="24"/>
          <w:szCs w:val="24"/>
        </w:rPr>
        <w:t>Se dice de un geotextil integral cuando hace 5 funciones como son</w:t>
      </w:r>
      <w:r w:rsidR="00B568A7">
        <w:rPr>
          <w:rFonts w:ascii="Arial" w:hAnsi="Arial" w:cs="Arial"/>
          <w:b/>
          <w:color w:val="000000"/>
          <w:sz w:val="24"/>
          <w:szCs w:val="24"/>
        </w:rPr>
        <w:t>:</w:t>
      </w:r>
      <w:r w:rsidRPr="00B860EF">
        <w:rPr>
          <w:rFonts w:ascii="Arial" w:hAnsi="Arial" w:cs="Arial"/>
          <w:b/>
          <w:color w:val="000000"/>
          <w:sz w:val="24"/>
          <w:szCs w:val="24"/>
        </w:rPr>
        <w:t xml:space="preserve"> refuerzo, confinamiento, separación, filtración y drenaje.</w:t>
      </w:r>
      <w:r>
        <w:rPr>
          <w:rFonts w:ascii="Arial" w:hAnsi="Arial" w:cs="Arial"/>
          <w:b/>
          <w:color w:val="000000"/>
          <w:sz w:val="24"/>
          <w:szCs w:val="24"/>
        </w:rPr>
        <w:t xml:space="preserve"> Usualmente las geomallas se utilizan para refuerzo y confinamiento</w:t>
      </w:r>
      <w:r w:rsidR="0018011C">
        <w:rPr>
          <w:rFonts w:ascii="Arial" w:hAnsi="Arial" w:cs="Arial"/>
          <w:b/>
          <w:color w:val="000000"/>
          <w:sz w:val="24"/>
          <w:szCs w:val="24"/>
        </w:rPr>
        <w:t xml:space="preserve"> de suelos</w:t>
      </w:r>
      <w:r>
        <w:rPr>
          <w:rFonts w:ascii="Arial" w:hAnsi="Arial" w:cs="Arial"/>
          <w:b/>
          <w:color w:val="000000"/>
          <w:sz w:val="24"/>
          <w:szCs w:val="24"/>
        </w:rPr>
        <w:t xml:space="preserve"> y los geotextiles para separación</w:t>
      </w:r>
      <w:r w:rsidR="0018011C">
        <w:rPr>
          <w:rFonts w:ascii="Arial" w:hAnsi="Arial" w:cs="Arial"/>
          <w:b/>
          <w:color w:val="000000"/>
          <w:sz w:val="24"/>
          <w:szCs w:val="24"/>
        </w:rPr>
        <w:t>,</w:t>
      </w:r>
      <w:r>
        <w:rPr>
          <w:rFonts w:ascii="Arial" w:hAnsi="Arial" w:cs="Arial"/>
          <w:b/>
          <w:color w:val="000000"/>
          <w:sz w:val="24"/>
          <w:szCs w:val="24"/>
        </w:rPr>
        <w:t xml:space="preserve"> filtración y drenaje.</w:t>
      </w:r>
    </w:p>
    <w:p w14:paraId="3C0C1D87" w14:textId="44763973" w:rsidR="00B860EF" w:rsidRDefault="00B860EF" w:rsidP="00B860EF">
      <w:pPr>
        <w:autoSpaceDE w:val="0"/>
        <w:autoSpaceDN w:val="0"/>
        <w:adjustRightInd w:val="0"/>
        <w:spacing w:after="250"/>
        <w:jc w:val="both"/>
        <w:rPr>
          <w:rFonts w:ascii="Arial" w:hAnsi="Arial" w:cs="Arial"/>
          <w:b/>
          <w:color w:val="000000"/>
          <w:sz w:val="24"/>
          <w:szCs w:val="24"/>
        </w:rPr>
      </w:pPr>
      <w:r>
        <w:rPr>
          <w:rFonts w:ascii="Arial" w:hAnsi="Arial" w:cs="Arial"/>
          <w:b/>
          <w:color w:val="000000"/>
          <w:sz w:val="24"/>
          <w:szCs w:val="24"/>
        </w:rPr>
        <w:t>La solución integral nos ayuda a cambiar los dos materiales</w:t>
      </w:r>
      <w:r w:rsidR="00B568A7">
        <w:rPr>
          <w:rFonts w:ascii="Arial" w:hAnsi="Arial" w:cs="Arial"/>
          <w:b/>
          <w:color w:val="000000"/>
          <w:sz w:val="24"/>
          <w:szCs w:val="24"/>
        </w:rPr>
        <w:t xml:space="preserve"> especificados</w:t>
      </w:r>
      <w:r>
        <w:rPr>
          <w:rFonts w:ascii="Arial" w:hAnsi="Arial" w:cs="Arial"/>
          <w:b/>
          <w:color w:val="000000"/>
          <w:sz w:val="24"/>
          <w:szCs w:val="24"/>
        </w:rPr>
        <w:t xml:space="preserve"> por solo uno evitando pagar dos productos, doble traslado y doble instalación ahorrando costos sustancialmente, además</w:t>
      </w:r>
      <w:r w:rsidR="00B568A7">
        <w:rPr>
          <w:rFonts w:ascii="Arial" w:hAnsi="Arial" w:cs="Arial"/>
          <w:b/>
          <w:color w:val="000000"/>
          <w:sz w:val="24"/>
          <w:szCs w:val="24"/>
        </w:rPr>
        <w:t xml:space="preserve">, </w:t>
      </w:r>
      <w:r w:rsidR="0018011C">
        <w:rPr>
          <w:rFonts w:ascii="Arial" w:hAnsi="Arial" w:cs="Arial"/>
          <w:b/>
          <w:color w:val="000000"/>
          <w:sz w:val="24"/>
          <w:szCs w:val="24"/>
        </w:rPr>
        <w:t xml:space="preserve">son capaces de </w:t>
      </w:r>
      <w:r>
        <w:rPr>
          <w:rFonts w:ascii="Arial" w:hAnsi="Arial" w:cs="Arial"/>
          <w:b/>
          <w:color w:val="000000"/>
          <w:sz w:val="24"/>
          <w:szCs w:val="24"/>
        </w:rPr>
        <w:t>proveer mayor influencia en el aporte estructural debido a las calibraciones ejecutadas tanto en laboratorio como en pruebas a gran escala</w:t>
      </w:r>
      <w:r w:rsidR="0018011C">
        <w:rPr>
          <w:rFonts w:ascii="Arial" w:hAnsi="Arial" w:cs="Arial"/>
          <w:b/>
          <w:color w:val="000000"/>
          <w:sz w:val="24"/>
          <w:szCs w:val="24"/>
        </w:rPr>
        <w:t xml:space="preserve"> y como resultado </w:t>
      </w:r>
      <w:r w:rsidR="00B568A7">
        <w:rPr>
          <w:rFonts w:ascii="Arial" w:hAnsi="Arial" w:cs="Arial"/>
          <w:b/>
          <w:color w:val="000000"/>
          <w:sz w:val="24"/>
          <w:szCs w:val="24"/>
        </w:rPr>
        <w:t>nos brindan</w:t>
      </w:r>
      <w:r w:rsidR="0018011C">
        <w:rPr>
          <w:rFonts w:ascii="Arial" w:hAnsi="Arial" w:cs="Arial"/>
          <w:b/>
          <w:color w:val="000000"/>
          <w:sz w:val="24"/>
          <w:szCs w:val="24"/>
        </w:rPr>
        <w:t xml:space="preserve"> ahorr</w:t>
      </w:r>
      <w:r w:rsidR="00B568A7">
        <w:rPr>
          <w:rFonts w:ascii="Arial" w:hAnsi="Arial" w:cs="Arial"/>
          <w:b/>
          <w:color w:val="000000"/>
          <w:sz w:val="24"/>
          <w:szCs w:val="24"/>
        </w:rPr>
        <w:t xml:space="preserve">o </w:t>
      </w:r>
      <w:r w:rsidR="0018011C">
        <w:rPr>
          <w:rFonts w:ascii="Arial" w:hAnsi="Arial" w:cs="Arial"/>
          <w:b/>
          <w:color w:val="000000"/>
          <w:sz w:val="24"/>
          <w:szCs w:val="24"/>
        </w:rPr>
        <w:t>en cuanto a</w:t>
      </w:r>
      <w:r w:rsidR="00B568A7">
        <w:rPr>
          <w:rFonts w:ascii="Arial" w:hAnsi="Arial" w:cs="Arial"/>
          <w:b/>
          <w:color w:val="000000"/>
          <w:sz w:val="24"/>
          <w:szCs w:val="24"/>
        </w:rPr>
        <w:t xml:space="preserve"> la sección diseñada de</w:t>
      </w:r>
      <w:r w:rsidR="0018011C">
        <w:rPr>
          <w:rFonts w:ascii="Arial" w:hAnsi="Arial" w:cs="Arial"/>
          <w:b/>
          <w:color w:val="000000"/>
          <w:sz w:val="24"/>
          <w:szCs w:val="24"/>
        </w:rPr>
        <w:t xml:space="preserve"> material de suelo selecto </w:t>
      </w:r>
      <w:r w:rsidR="00B568A7">
        <w:rPr>
          <w:rFonts w:ascii="Arial" w:hAnsi="Arial" w:cs="Arial"/>
          <w:b/>
          <w:color w:val="000000"/>
          <w:sz w:val="24"/>
          <w:szCs w:val="24"/>
        </w:rPr>
        <w:t xml:space="preserve">(base , </w:t>
      </w:r>
      <w:proofErr w:type="spellStart"/>
      <w:r w:rsidR="00B568A7">
        <w:rPr>
          <w:rFonts w:ascii="Arial" w:hAnsi="Arial" w:cs="Arial"/>
          <w:b/>
          <w:color w:val="000000"/>
          <w:sz w:val="24"/>
          <w:szCs w:val="24"/>
        </w:rPr>
        <w:t>sub</w:t>
      </w:r>
      <w:r w:rsidR="00B568A7">
        <w:rPr>
          <w:rFonts w:ascii="Arial" w:hAnsi="Arial" w:cs="Arial"/>
          <w:b/>
          <w:color w:val="000000"/>
          <w:sz w:val="24"/>
          <w:szCs w:val="24"/>
        </w:rPr>
        <w:t>-base</w:t>
      </w:r>
      <w:proofErr w:type="spellEnd"/>
      <w:r w:rsidR="00B568A7">
        <w:rPr>
          <w:rFonts w:ascii="Arial" w:hAnsi="Arial" w:cs="Arial"/>
          <w:b/>
          <w:color w:val="000000"/>
          <w:sz w:val="24"/>
          <w:szCs w:val="24"/>
        </w:rPr>
        <w:t xml:space="preserve"> </w:t>
      </w:r>
      <w:r w:rsidR="00B568A7">
        <w:rPr>
          <w:rFonts w:ascii="Arial" w:hAnsi="Arial" w:cs="Arial"/>
          <w:b/>
          <w:color w:val="000000"/>
          <w:sz w:val="24"/>
          <w:szCs w:val="24"/>
        </w:rPr>
        <w:t xml:space="preserve">, terracerías) </w:t>
      </w:r>
      <w:r w:rsidR="0018011C">
        <w:rPr>
          <w:rFonts w:ascii="Arial" w:hAnsi="Arial" w:cs="Arial"/>
          <w:b/>
          <w:color w:val="000000"/>
          <w:sz w:val="24"/>
          <w:szCs w:val="24"/>
        </w:rPr>
        <w:t xml:space="preserve"> disminuyendo costos y la huella de carbono cómo lo mostramos en la imagen 1.</w:t>
      </w:r>
    </w:p>
    <w:p w14:paraId="37D5860E" w14:textId="77777777" w:rsidR="0018011C" w:rsidRDefault="0018011C" w:rsidP="0018011C">
      <w:pPr>
        <w:autoSpaceDE w:val="0"/>
        <w:autoSpaceDN w:val="0"/>
        <w:adjustRightInd w:val="0"/>
        <w:spacing w:after="250"/>
        <w:jc w:val="center"/>
        <w:rPr>
          <w:rFonts w:ascii="Arial" w:hAnsi="Arial" w:cs="Arial"/>
          <w:b/>
          <w:color w:val="000000"/>
          <w:sz w:val="24"/>
          <w:szCs w:val="24"/>
        </w:rPr>
      </w:pPr>
      <w:r w:rsidRPr="0018011C">
        <w:rPr>
          <w:rFonts w:ascii="Arial" w:hAnsi="Arial" w:cs="Arial"/>
          <w:b/>
          <w:color w:val="000000"/>
          <w:sz w:val="24"/>
          <w:szCs w:val="24"/>
        </w:rPr>
        <w:drawing>
          <wp:inline distT="0" distB="0" distL="0" distR="0" wp14:anchorId="46A0FE71" wp14:editId="294E1D34">
            <wp:extent cx="3391575" cy="2162810"/>
            <wp:effectExtent l="0" t="0" r="0" b="8890"/>
            <wp:docPr id="5" name="46 Imagen" descr="18-gyg-RSi_expo4.jpg">
              <a:extLst xmlns:a="http://schemas.openxmlformats.org/drawingml/2006/main">
                <a:ext uri="{FF2B5EF4-FFF2-40B4-BE49-F238E27FC236}">
                  <a16:creationId xmlns:a16="http://schemas.microsoft.com/office/drawing/2014/main" id="{908E9DF1-04C4-4BE8-8DCC-C3A9A995233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46 Imagen" descr="18-gyg-RSi_expo4.jpg">
                      <a:extLst>
                        <a:ext uri="{FF2B5EF4-FFF2-40B4-BE49-F238E27FC236}">
                          <a16:creationId xmlns:a16="http://schemas.microsoft.com/office/drawing/2014/main" id="{908E9DF1-04C4-4BE8-8DCC-C3A9A995233E}"/>
                        </a:ext>
                      </a:extLst>
                    </pic:cNvPr>
                    <pic:cNvPicPr>
                      <a:picLocks noGrp="1" noChangeAspect="1"/>
                    </pic:cNvPicPr>
                  </pic:nvPicPr>
                  <pic:blipFill>
                    <a:blip r:embed="rId7" cstate="print"/>
                    <a:srcRect l="7500" t="15625" r="7969" b="12500"/>
                    <a:stretch>
                      <a:fillRect/>
                    </a:stretch>
                  </pic:blipFill>
                  <pic:spPr>
                    <a:xfrm>
                      <a:off x="0" y="0"/>
                      <a:ext cx="3399838" cy="2168079"/>
                    </a:xfrm>
                    <a:prstGeom prst="rect">
                      <a:avLst/>
                    </a:prstGeom>
                  </pic:spPr>
                </pic:pic>
              </a:graphicData>
            </a:graphic>
          </wp:inline>
        </w:drawing>
      </w:r>
    </w:p>
    <w:p w14:paraId="1584A1E7" w14:textId="7B6054C6" w:rsidR="0018011C" w:rsidRDefault="0018011C" w:rsidP="0018011C">
      <w:pPr>
        <w:autoSpaceDE w:val="0"/>
        <w:autoSpaceDN w:val="0"/>
        <w:adjustRightInd w:val="0"/>
        <w:spacing w:after="250"/>
        <w:jc w:val="center"/>
        <w:rPr>
          <w:rFonts w:ascii="Arial" w:hAnsi="Arial" w:cs="Arial"/>
          <w:b/>
          <w:color w:val="000000"/>
          <w:sz w:val="24"/>
          <w:szCs w:val="24"/>
        </w:rPr>
      </w:pPr>
      <w:r>
        <w:rPr>
          <w:rFonts w:ascii="Arial" w:hAnsi="Arial" w:cs="Arial"/>
          <w:b/>
          <w:color w:val="000000"/>
          <w:sz w:val="24"/>
          <w:szCs w:val="24"/>
        </w:rPr>
        <w:t>Imagen 1.- Reducción de</w:t>
      </w:r>
      <w:r w:rsidR="00B568A7">
        <w:rPr>
          <w:rFonts w:ascii="Arial" w:hAnsi="Arial" w:cs="Arial"/>
          <w:b/>
          <w:color w:val="000000"/>
          <w:sz w:val="24"/>
          <w:szCs w:val="24"/>
        </w:rPr>
        <w:t xml:space="preserve"> Sección de</w:t>
      </w:r>
      <w:r>
        <w:rPr>
          <w:rFonts w:ascii="Arial" w:hAnsi="Arial" w:cs="Arial"/>
          <w:b/>
          <w:color w:val="000000"/>
          <w:sz w:val="24"/>
          <w:szCs w:val="24"/>
        </w:rPr>
        <w:t xml:space="preserve"> Material Granular con Mirafi® </w:t>
      </w:r>
      <w:proofErr w:type="spellStart"/>
      <w:r>
        <w:rPr>
          <w:rFonts w:ascii="Arial" w:hAnsi="Arial" w:cs="Arial"/>
          <w:b/>
          <w:color w:val="000000"/>
          <w:sz w:val="24"/>
          <w:szCs w:val="24"/>
        </w:rPr>
        <w:t>RS</w:t>
      </w:r>
      <w:r w:rsidRPr="0018011C">
        <w:rPr>
          <w:rFonts w:ascii="Arial" w:hAnsi="Arial" w:cs="Arial"/>
          <w:b/>
          <w:i/>
          <w:iCs/>
          <w:color w:val="FF0000"/>
          <w:sz w:val="24"/>
          <w:szCs w:val="24"/>
        </w:rPr>
        <w:t>i</w:t>
      </w:r>
      <w:proofErr w:type="spellEnd"/>
    </w:p>
    <w:p w14:paraId="1C43D417" w14:textId="2A5D822A" w:rsidR="00B860EF" w:rsidRDefault="005F15B4" w:rsidP="00B860EF">
      <w:pPr>
        <w:autoSpaceDE w:val="0"/>
        <w:autoSpaceDN w:val="0"/>
        <w:adjustRightInd w:val="0"/>
        <w:spacing w:after="250"/>
        <w:jc w:val="both"/>
        <w:rPr>
          <w:rFonts w:ascii="Arial" w:hAnsi="Arial" w:cs="Arial"/>
          <w:b/>
          <w:color w:val="000000"/>
          <w:sz w:val="24"/>
          <w:szCs w:val="24"/>
        </w:rPr>
      </w:pPr>
      <w:r>
        <w:rPr>
          <w:rFonts w:ascii="Arial" w:hAnsi="Arial" w:cs="Arial"/>
          <w:b/>
          <w:color w:val="000000"/>
          <w:sz w:val="24"/>
          <w:szCs w:val="24"/>
        </w:rPr>
        <w:t>Haciendo investigaciones exhaustivas es</w:t>
      </w:r>
      <w:r w:rsidR="00B860EF">
        <w:rPr>
          <w:rFonts w:ascii="Arial" w:hAnsi="Arial" w:cs="Arial"/>
          <w:b/>
          <w:color w:val="000000"/>
          <w:sz w:val="24"/>
          <w:szCs w:val="24"/>
        </w:rPr>
        <w:t xml:space="preserve"> como podemos aplicar el aporte estructural del geosintético integral en metodologías AASHTO 93, AASHTO </w:t>
      </w:r>
      <w:r w:rsidR="009D451C">
        <w:rPr>
          <w:rFonts w:ascii="Arial" w:hAnsi="Arial" w:cs="Arial"/>
          <w:b/>
          <w:color w:val="000000"/>
          <w:sz w:val="24"/>
          <w:szCs w:val="24"/>
        </w:rPr>
        <w:t>Empírico</w:t>
      </w:r>
      <w:r w:rsidR="00B860EF">
        <w:rPr>
          <w:rFonts w:ascii="Arial" w:hAnsi="Arial" w:cs="Arial"/>
          <w:b/>
          <w:color w:val="000000"/>
          <w:sz w:val="24"/>
          <w:szCs w:val="24"/>
        </w:rPr>
        <w:t>-Mecanicista , Giroud-HAN 2004 entre otros.</w:t>
      </w:r>
    </w:p>
    <w:p w14:paraId="712C4088" w14:textId="029BA72B" w:rsidR="00AF6F1E" w:rsidRPr="00B860EF" w:rsidRDefault="00AF6F1E" w:rsidP="00B860EF">
      <w:pPr>
        <w:autoSpaceDE w:val="0"/>
        <w:autoSpaceDN w:val="0"/>
        <w:adjustRightInd w:val="0"/>
        <w:spacing w:after="250"/>
        <w:jc w:val="both"/>
        <w:rPr>
          <w:rFonts w:ascii="Arial" w:hAnsi="Arial" w:cs="Arial"/>
          <w:b/>
          <w:color w:val="000000"/>
          <w:sz w:val="24"/>
          <w:szCs w:val="24"/>
        </w:rPr>
      </w:pPr>
      <w:r>
        <w:rPr>
          <w:rFonts w:ascii="Arial" w:hAnsi="Arial" w:cs="Arial"/>
          <w:b/>
          <w:color w:val="000000"/>
          <w:sz w:val="24"/>
          <w:szCs w:val="24"/>
        </w:rPr>
        <w:t>Resumen de Ventajas</w:t>
      </w:r>
      <w:r w:rsidR="0018011C">
        <w:rPr>
          <w:rFonts w:ascii="Arial" w:hAnsi="Arial" w:cs="Arial"/>
          <w:b/>
          <w:color w:val="000000"/>
          <w:sz w:val="24"/>
          <w:szCs w:val="24"/>
        </w:rPr>
        <w:t xml:space="preserve"> Mirafi® </w:t>
      </w:r>
      <w:proofErr w:type="spellStart"/>
      <w:r w:rsidR="0018011C">
        <w:rPr>
          <w:rFonts w:ascii="Arial" w:hAnsi="Arial" w:cs="Arial"/>
          <w:b/>
          <w:color w:val="000000"/>
          <w:sz w:val="24"/>
          <w:szCs w:val="24"/>
        </w:rPr>
        <w:t>RS</w:t>
      </w:r>
      <w:r w:rsidR="0018011C" w:rsidRPr="0018011C">
        <w:rPr>
          <w:rFonts w:ascii="Arial" w:hAnsi="Arial" w:cs="Arial"/>
          <w:b/>
          <w:i/>
          <w:iCs/>
          <w:color w:val="FF0000"/>
          <w:sz w:val="24"/>
          <w:szCs w:val="24"/>
        </w:rPr>
        <w:t>i</w:t>
      </w:r>
      <w:proofErr w:type="spellEnd"/>
      <w:r w:rsidR="005F15B4">
        <w:rPr>
          <w:rFonts w:ascii="Arial" w:hAnsi="Arial" w:cs="Arial"/>
          <w:b/>
          <w:i/>
          <w:iCs/>
          <w:color w:val="FF0000"/>
          <w:sz w:val="24"/>
          <w:szCs w:val="24"/>
        </w:rPr>
        <w:t xml:space="preserve"> </w:t>
      </w:r>
      <w:r w:rsidR="005F15B4" w:rsidRPr="005F15B4">
        <w:rPr>
          <w:rFonts w:ascii="Arial" w:hAnsi="Arial" w:cs="Arial"/>
          <w:b/>
          <w:sz w:val="24"/>
          <w:szCs w:val="24"/>
        </w:rPr>
        <w:t>:</w:t>
      </w:r>
    </w:p>
    <w:p w14:paraId="49B49ADD" w14:textId="77777777" w:rsidR="00B860EF" w:rsidRDefault="00B860EF" w:rsidP="00B860EF">
      <w:pPr>
        <w:pStyle w:val="Prrafodelista"/>
        <w:numPr>
          <w:ilvl w:val="0"/>
          <w:numId w:val="1"/>
        </w:numPr>
        <w:autoSpaceDE w:val="0"/>
        <w:autoSpaceDN w:val="0"/>
        <w:adjustRightInd w:val="0"/>
        <w:spacing w:after="250"/>
        <w:jc w:val="both"/>
        <w:rPr>
          <w:rFonts w:ascii="Arial" w:hAnsi="Arial" w:cs="Arial"/>
          <w:b/>
          <w:color w:val="000000"/>
          <w:sz w:val="24"/>
          <w:szCs w:val="24"/>
        </w:rPr>
      </w:pPr>
      <w:r w:rsidRPr="00B860EF">
        <w:rPr>
          <w:rFonts w:ascii="Arial" w:hAnsi="Arial" w:cs="Arial"/>
          <w:b/>
          <w:color w:val="000000"/>
          <w:sz w:val="24"/>
          <w:szCs w:val="24"/>
        </w:rPr>
        <w:t>Mirafi® brinda las mejores propiedades de un geotextil de separación y refuerzo y las mejores propiedades mecánicas de una geomalla.</w:t>
      </w:r>
    </w:p>
    <w:p w14:paraId="30A5FB0F" w14:textId="455BFE94" w:rsidR="00B860EF" w:rsidRDefault="00B860EF" w:rsidP="00B860EF">
      <w:pPr>
        <w:autoSpaceDE w:val="0"/>
        <w:autoSpaceDN w:val="0"/>
        <w:adjustRightInd w:val="0"/>
        <w:spacing w:after="250"/>
        <w:jc w:val="center"/>
        <w:rPr>
          <w:rFonts w:ascii="Arial" w:hAnsi="Arial" w:cs="Arial"/>
          <w:b/>
          <w:noProof/>
          <w:color w:val="000000"/>
          <w:sz w:val="24"/>
          <w:szCs w:val="24"/>
        </w:rPr>
      </w:pPr>
    </w:p>
    <w:p w14:paraId="75425744" w14:textId="515221A7" w:rsidR="009D451C" w:rsidRDefault="009D451C" w:rsidP="00B860EF">
      <w:pPr>
        <w:autoSpaceDE w:val="0"/>
        <w:autoSpaceDN w:val="0"/>
        <w:adjustRightInd w:val="0"/>
        <w:spacing w:after="250"/>
        <w:jc w:val="center"/>
        <w:rPr>
          <w:rFonts w:ascii="Arial" w:hAnsi="Arial" w:cs="Arial"/>
          <w:b/>
          <w:noProof/>
          <w:color w:val="000000"/>
          <w:sz w:val="24"/>
          <w:szCs w:val="24"/>
        </w:rPr>
      </w:pPr>
    </w:p>
    <w:p w14:paraId="6A9D4211" w14:textId="77777777" w:rsidR="00B860EF" w:rsidRPr="00B860EF" w:rsidRDefault="00B860EF" w:rsidP="00B860EF">
      <w:pPr>
        <w:pStyle w:val="Prrafodelista"/>
        <w:numPr>
          <w:ilvl w:val="0"/>
          <w:numId w:val="1"/>
        </w:numPr>
        <w:autoSpaceDE w:val="0"/>
        <w:autoSpaceDN w:val="0"/>
        <w:adjustRightInd w:val="0"/>
        <w:spacing w:after="250"/>
        <w:jc w:val="both"/>
        <w:rPr>
          <w:rFonts w:ascii="Arial" w:hAnsi="Arial" w:cs="Arial"/>
          <w:color w:val="000000"/>
          <w:sz w:val="24"/>
          <w:szCs w:val="24"/>
        </w:rPr>
      </w:pPr>
      <w:r>
        <w:rPr>
          <w:rFonts w:ascii="Arial" w:hAnsi="Arial" w:cs="Arial"/>
          <w:b/>
          <w:color w:val="000000"/>
          <w:sz w:val="24"/>
          <w:szCs w:val="24"/>
        </w:rPr>
        <w:lastRenderedPageBreak/>
        <w:t>Refuerzo al 2% de deformación (% máximo para evitar deformaciones, grietas o roderas en pavimentos)</w:t>
      </w:r>
      <w:r>
        <w:rPr>
          <w:rFonts w:ascii="Arial" w:hAnsi="Arial" w:cs="Arial"/>
          <w:color w:val="000000"/>
          <w:sz w:val="24"/>
          <w:szCs w:val="24"/>
        </w:rPr>
        <w:t xml:space="preserve"> </w:t>
      </w:r>
      <w:r>
        <w:rPr>
          <w:rFonts w:ascii="Arial" w:hAnsi="Arial" w:cs="Arial"/>
          <w:i/>
          <w:iCs/>
          <w:color w:val="000000"/>
          <w:sz w:val="24"/>
          <w:szCs w:val="24"/>
        </w:rPr>
        <w:t xml:space="preserve">Los profesionales que deseen hacer uso de un geosintéticos en la estabilización de una subrasante deben considerar la especificación de los valores mínimos (MARVS) de las propiedades del material que se correlacionaron con un buen rendimiento en las secciones.  </w:t>
      </w:r>
    </w:p>
    <w:p w14:paraId="2DFC7B4A" w14:textId="77777777" w:rsidR="00B860EF" w:rsidRDefault="00B860EF" w:rsidP="00B860EF">
      <w:pPr>
        <w:pStyle w:val="Prrafodelista"/>
        <w:autoSpaceDE w:val="0"/>
        <w:autoSpaceDN w:val="0"/>
        <w:adjustRightInd w:val="0"/>
        <w:spacing w:after="250"/>
        <w:rPr>
          <w:rFonts w:ascii="Arial" w:hAnsi="Arial" w:cs="Arial"/>
          <w:color w:val="000000"/>
          <w:sz w:val="24"/>
          <w:szCs w:val="24"/>
        </w:rPr>
      </w:pPr>
    </w:p>
    <w:p w14:paraId="4A129C0D" w14:textId="77777777" w:rsidR="00B860EF" w:rsidRDefault="00B860EF" w:rsidP="00B860EF">
      <w:pPr>
        <w:pStyle w:val="Prrafodelista"/>
        <w:numPr>
          <w:ilvl w:val="0"/>
          <w:numId w:val="1"/>
        </w:numPr>
        <w:autoSpaceDE w:val="0"/>
        <w:autoSpaceDN w:val="0"/>
        <w:adjustRightInd w:val="0"/>
        <w:spacing w:after="250"/>
        <w:rPr>
          <w:rFonts w:ascii="Arial" w:hAnsi="Arial" w:cs="Arial"/>
          <w:color w:val="000000"/>
          <w:sz w:val="24"/>
          <w:szCs w:val="24"/>
        </w:rPr>
      </w:pPr>
      <w:r>
        <w:rPr>
          <w:rFonts w:ascii="Arial" w:hAnsi="Arial" w:cs="Arial"/>
          <w:b/>
          <w:color w:val="000000"/>
          <w:sz w:val="24"/>
          <w:szCs w:val="24"/>
        </w:rPr>
        <w:t>Separación</w:t>
      </w:r>
      <w:r>
        <w:rPr>
          <w:rFonts w:ascii="Arial" w:hAnsi="Arial" w:cs="Arial"/>
          <w:color w:val="000000"/>
          <w:sz w:val="24"/>
          <w:szCs w:val="24"/>
        </w:rPr>
        <w:t xml:space="preserve"> (evitar la mezcla de material selecto con el de cimentación) </w:t>
      </w:r>
    </w:p>
    <w:p w14:paraId="46F97437" w14:textId="77777777" w:rsidR="00B860EF" w:rsidRPr="00411B0C" w:rsidRDefault="00B860EF" w:rsidP="00B860EF">
      <w:pPr>
        <w:pStyle w:val="Prrafodelista"/>
        <w:autoSpaceDE w:val="0"/>
        <w:autoSpaceDN w:val="0"/>
        <w:adjustRightInd w:val="0"/>
        <w:rPr>
          <w:rFonts w:ascii="Arial" w:hAnsi="Arial" w:cs="Arial"/>
          <w:color w:val="000000"/>
          <w:sz w:val="24"/>
          <w:szCs w:val="24"/>
        </w:rPr>
      </w:pPr>
    </w:p>
    <w:p w14:paraId="6AEC457C" w14:textId="77777777" w:rsidR="00B860EF" w:rsidRDefault="00B860EF" w:rsidP="00B860EF">
      <w:pPr>
        <w:pStyle w:val="Prrafodelista"/>
        <w:numPr>
          <w:ilvl w:val="0"/>
          <w:numId w:val="1"/>
        </w:numPr>
        <w:autoSpaceDE w:val="0"/>
        <w:autoSpaceDN w:val="0"/>
        <w:adjustRightInd w:val="0"/>
        <w:rPr>
          <w:rFonts w:ascii="Arial" w:hAnsi="Arial" w:cs="Arial"/>
          <w:color w:val="000000"/>
          <w:sz w:val="24"/>
          <w:szCs w:val="24"/>
        </w:rPr>
      </w:pPr>
      <w:r>
        <w:rPr>
          <w:rFonts w:ascii="Arial" w:hAnsi="Arial" w:cs="Arial"/>
          <w:b/>
          <w:color w:val="000000"/>
          <w:sz w:val="24"/>
          <w:szCs w:val="24"/>
        </w:rPr>
        <w:t>Confinamiento</w:t>
      </w:r>
      <w:r>
        <w:rPr>
          <w:rFonts w:ascii="Arial" w:hAnsi="Arial" w:cs="Arial"/>
          <w:color w:val="000000"/>
          <w:sz w:val="24"/>
          <w:szCs w:val="24"/>
        </w:rPr>
        <w:t xml:space="preserve"> (contrarrestar el movimiento lateral) </w:t>
      </w:r>
    </w:p>
    <w:p w14:paraId="05328848" w14:textId="77777777" w:rsidR="00B860EF" w:rsidRPr="00411B0C" w:rsidRDefault="00B860EF" w:rsidP="00B860EF">
      <w:pPr>
        <w:pStyle w:val="Prrafodelista"/>
        <w:autoSpaceDE w:val="0"/>
        <w:autoSpaceDN w:val="0"/>
        <w:adjustRightInd w:val="0"/>
        <w:rPr>
          <w:rFonts w:ascii="Arial" w:hAnsi="Arial" w:cs="Arial"/>
          <w:color w:val="000000"/>
          <w:sz w:val="24"/>
          <w:szCs w:val="24"/>
        </w:rPr>
      </w:pPr>
    </w:p>
    <w:p w14:paraId="7EA2EAB9" w14:textId="77777777" w:rsidR="00B860EF" w:rsidRDefault="00B860EF" w:rsidP="00B860EF">
      <w:pPr>
        <w:pStyle w:val="Prrafodelista"/>
        <w:numPr>
          <w:ilvl w:val="0"/>
          <w:numId w:val="1"/>
        </w:numPr>
        <w:autoSpaceDE w:val="0"/>
        <w:autoSpaceDN w:val="0"/>
        <w:adjustRightInd w:val="0"/>
        <w:rPr>
          <w:rFonts w:ascii="Arial" w:hAnsi="Arial" w:cs="Arial"/>
          <w:color w:val="000000"/>
          <w:sz w:val="24"/>
          <w:szCs w:val="24"/>
        </w:rPr>
      </w:pPr>
      <w:r>
        <w:rPr>
          <w:rFonts w:ascii="Arial" w:hAnsi="Arial" w:cs="Arial"/>
          <w:b/>
          <w:color w:val="000000"/>
          <w:sz w:val="24"/>
          <w:szCs w:val="24"/>
        </w:rPr>
        <w:t>Filtración</w:t>
      </w:r>
      <w:r>
        <w:rPr>
          <w:rFonts w:ascii="Arial" w:hAnsi="Arial" w:cs="Arial"/>
          <w:color w:val="000000"/>
          <w:sz w:val="24"/>
          <w:szCs w:val="24"/>
        </w:rPr>
        <w:t xml:space="preserve"> (dejar pasar agua sin arrastre de partículas de fino) </w:t>
      </w:r>
    </w:p>
    <w:p w14:paraId="4B13C0BB" w14:textId="77777777" w:rsidR="00B860EF" w:rsidRPr="00411B0C" w:rsidRDefault="00B860EF" w:rsidP="00B860EF">
      <w:pPr>
        <w:pStyle w:val="Prrafodelista"/>
        <w:autoSpaceDE w:val="0"/>
        <w:autoSpaceDN w:val="0"/>
        <w:adjustRightInd w:val="0"/>
        <w:rPr>
          <w:rFonts w:ascii="Arial" w:hAnsi="Arial" w:cs="Arial"/>
          <w:sz w:val="24"/>
          <w:szCs w:val="24"/>
          <w:lang w:val="es-ES" w:eastAsia="es-ES"/>
        </w:rPr>
      </w:pPr>
    </w:p>
    <w:p w14:paraId="4FD593C9" w14:textId="77777777" w:rsidR="00B860EF" w:rsidRDefault="00B860EF" w:rsidP="00B860EF">
      <w:pPr>
        <w:pStyle w:val="Prrafodelista"/>
        <w:numPr>
          <w:ilvl w:val="0"/>
          <w:numId w:val="1"/>
        </w:numPr>
        <w:autoSpaceDE w:val="0"/>
        <w:autoSpaceDN w:val="0"/>
        <w:adjustRightInd w:val="0"/>
        <w:rPr>
          <w:rFonts w:ascii="Arial" w:hAnsi="Arial" w:cs="Arial"/>
          <w:sz w:val="24"/>
          <w:szCs w:val="24"/>
          <w:lang w:val="es-ES" w:eastAsia="es-ES"/>
        </w:rPr>
      </w:pPr>
      <w:r>
        <w:rPr>
          <w:rFonts w:ascii="Arial" w:hAnsi="Arial" w:cs="Arial"/>
          <w:b/>
          <w:color w:val="000000"/>
          <w:sz w:val="24"/>
          <w:szCs w:val="24"/>
        </w:rPr>
        <w:t>Drenaje</w:t>
      </w:r>
      <w:r>
        <w:rPr>
          <w:rFonts w:ascii="Arial" w:hAnsi="Arial" w:cs="Arial"/>
          <w:color w:val="000000"/>
          <w:sz w:val="24"/>
          <w:szCs w:val="24"/>
        </w:rPr>
        <w:t xml:space="preserve"> (movimiento del agua sin que exista estanqueidad que genere presión de poro)</w:t>
      </w:r>
      <w:r>
        <w:rPr>
          <w:rFonts w:ascii="Arial" w:hAnsi="Arial" w:cs="Arial"/>
        </w:rPr>
        <w:t xml:space="preserve"> </w:t>
      </w:r>
    </w:p>
    <w:p w14:paraId="623BFED4" w14:textId="550FF77B" w:rsidR="00B860EF" w:rsidRPr="00411B0C" w:rsidRDefault="00B860EF" w:rsidP="00B860EF">
      <w:pPr>
        <w:jc w:val="both"/>
        <w:rPr>
          <w:rFonts w:ascii="Arial" w:eastAsiaTheme="minorEastAsia" w:hAnsi="Arial" w:cs="Arial"/>
          <w:sz w:val="24"/>
          <w:szCs w:val="24"/>
        </w:rPr>
      </w:pPr>
      <w:r w:rsidRPr="00411B0C">
        <w:rPr>
          <w:rFonts w:ascii="Arial" w:eastAsiaTheme="minorEastAsia" w:hAnsi="Arial" w:cs="Arial"/>
          <w:b/>
          <w:sz w:val="24"/>
          <w:szCs w:val="24"/>
        </w:rPr>
        <w:t>El determinar el factor de calibración (GSC) para el Geosintético utilizado en el proceso de diseño requiere una calibración exhaustiva para cada material</w:t>
      </w:r>
      <w:r w:rsidRPr="00411B0C">
        <w:rPr>
          <w:rFonts w:ascii="Arial" w:eastAsiaTheme="minorEastAsia" w:hAnsi="Arial" w:cs="Arial"/>
          <w:sz w:val="24"/>
          <w:szCs w:val="24"/>
        </w:rPr>
        <w:t>.</w:t>
      </w:r>
    </w:p>
    <w:p w14:paraId="32ABEA07" w14:textId="77777777" w:rsidR="00B860EF" w:rsidRPr="00411B0C" w:rsidRDefault="00B860EF" w:rsidP="00B860EF">
      <w:pPr>
        <w:jc w:val="both"/>
        <w:rPr>
          <w:rFonts w:ascii="Arial" w:eastAsiaTheme="minorEastAsia" w:hAnsi="Arial" w:cs="Arial"/>
          <w:sz w:val="24"/>
          <w:szCs w:val="24"/>
        </w:rPr>
      </w:pPr>
      <w:r w:rsidRPr="00411B0C">
        <w:rPr>
          <w:rFonts w:ascii="Arial" w:eastAsiaTheme="minorEastAsia" w:hAnsi="Arial" w:cs="Arial"/>
          <w:sz w:val="24"/>
          <w:szCs w:val="24"/>
        </w:rPr>
        <w:t xml:space="preserve">Este proceso puede ser muy costoso y requeriría de mucho tiempo </w:t>
      </w:r>
      <w:r w:rsidRPr="00411B0C">
        <w:rPr>
          <w:rFonts w:ascii="Arial" w:eastAsiaTheme="minorEastAsia" w:hAnsi="Arial" w:cs="Arial"/>
          <w:b/>
          <w:sz w:val="24"/>
          <w:szCs w:val="24"/>
        </w:rPr>
        <w:t>ya que el determinar el GSC para un Geosintético es también una función</w:t>
      </w:r>
      <w:r w:rsidRPr="00411B0C">
        <w:rPr>
          <w:rFonts w:ascii="Arial" w:eastAsiaTheme="minorEastAsia" w:hAnsi="Arial" w:cs="Arial"/>
          <w:sz w:val="24"/>
          <w:szCs w:val="24"/>
        </w:rPr>
        <w:t xml:space="preserve"> </w:t>
      </w:r>
      <w:r w:rsidRPr="00411B0C">
        <w:rPr>
          <w:rFonts w:ascii="Arial" w:eastAsiaTheme="minorEastAsia" w:hAnsi="Arial" w:cs="Arial"/>
          <w:b/>
          <w:sz w:val="24"/>
          <w:szCs w:val="24"/>
        </w:rPr>
        <w:t>de las variables de diseño r, h, R</w:t>
      </w:r>
      <w:r w:rsidRPr="00411B0C">
        <w:rPr>
          <w:rFonts w:ascii="Arial" w:eastAsiaTheme="minorEastAsia" w:hAnsi="Arial" w:cs="Arial"/>
          <w:b/>
          <w:sz w:val="24"/>
          <w:szCs w:val="24"/>
          <w:vertAlign w:val="subscript"/>
        </w:rPr>
        <w:t>E</w:t>
      </w:r>
      <w:r w:rsidRPr="00411B0C">
        <w:rPr>
          <w:rFonts w:ascii="Arial" w:eastAsiaTheme="minorEastAsia" w:hAnsi="Arial" w:cs="Arial"/>
          <w:b/>
          <w:sz w:val="24"/>
          <w:szCs w:val="24"/>
        </w:rPr>
        <w:t>, P, s y C</w:t>
      </w:r>
      <w:r w:rsidRPr="00411B0C">
        <w:rPr>
          <w:rFonts w:ascii="Arial" w:eastAsiaTheme="minorEastAsia" w:hAnsi="Arial" w:cs="Arial"/>
          <w:b/>
          <w:sz w:val="24"/>
          <w:szCs w:val="24"/>
          <w:vertAlign w:val="subscript"/>
        </w:rPr>
        <w:t>u</w:t>
      </w:r>
      <w:r w:rsidRPr="00411B0C">
        <w:rPr>
          <w:rFonts w:ascii="Arial" w:eastAsiaTheme="minorEastAsia" w:hAnsi="Arial" w:cs="Arial"/>
          <w:sz w:val="24"/>
          <w:szCs w:val="24"/>
        </w:rPr>
        <w:t xml:space="preserve"> que son derivados de pruebas de laboratorio y a gran escala. </w:t>
      </w:r>
    </w:p>
    <w:p w14:paraId="083DCE50" w14:textId="60961235" w:rsidR="00B860EF" w:rsidRPr="00411B0C" w:rsidRDefault="005F15B4" w:rsidP="00B860EF">
      <w:pPr>
        <w:jc w:val="both"/>
        <w:rPr>
          <w:rFonts w:ascii="Arial" w:eastAsiaTheme="minorEastAsia" w:hAnsi="Arial" w:cs="Arial"/>
          <w:sz w:val="24"/>
          <w:szCs w:val="24"/>
        </w:rPr>
      </w:pPr>
      <w:r w:rsidRPr="00411B0C">
        <w:rPr>
          <w:rFonts w:ascii="Times New Roman" w:eastAsia="Times New Roman" w:hAnsi="Times New Roman" w:cs="Times New Roman"/>
          <w:noProof/>
          <w:sz w:val="24"/>
          <w:szCs w:val="24"/>
          <w:lang w:eastAsia="es-MX"/>
        </w:rPr>
        <w:drawing>
          <wp:anchor distT="0" distB="0" distL="114300" distR="114300" simplePos="0" relativeHeight="251659264" behindDoc="1" locked="0" layoutInCell="0" allowOverlap="1" wp14:anchorId="0C317CC9" wp14:editId="4FDF4AAE">
            <wp:simplePos x="0" y="0"/>
            <wp:positionH relativeFrom="margin">
              <wp:posOffset>3125470</wp:posOffset>
            </wp:positionH>
            <wp:positionV relativeFrom="margin">
              <wp:posOffset>5031105</wp:posOffset>
            </wp:positionV>
            <wp:extent cx="2458085" cy="1365250"/>
            <wp:effectExtent l="0" t="0" r="0" b="635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8085" cy="1365250"/>
                    </a:xfrm>
                    <a:prstGeom prst="rect">
                      <a:avLst/>
                    </a:prstGeom>
                    <a:noFill/>
                  </pic:spPr>
                </pic:pic>
              </a:graphicData>
            </a:graphic>
            <wp14:sizeRelH relativeFrom="margin">
              <wp14:pctWidth>0</wp14:pctWidth>
            </wp14:sizeRelH>
            <wp14:sizeRelV relativeFrom="margin">
              <wp14:pctHeight>0</wp14:pctHeight>
            </wp14:sizeRelV>
          </wp:anchor>
        </w:drawing>
      </w:r>
      <w:r w:rsidR="00B860EF" w:rsidRPr="00411B0C">
        <w:rPr>
          <w:rFonts w:ascii="Arial" w:eastAsiaTheme="minorEastAsia" w:hAnsi="Arial" w:cs="Arial"/>
          <w:b/>
          <w:sz w:val="24"/>
          <w:szCs w:val="24"/>
        </w:rPr>
        <w:t xml:space="preserve">Los valores de GSC para los Geosintéticos </w:t>
      </w:r>
      <w:proofErr w:type="spellStart"/>
      <w:r w:rsidR="00B860EF" w:rsidRPr="00411B0C">
        <w:rPr>
          <w:rFonts w:ascii="Arial" w:eastAsiaTheme="minorEastAsia" w:hAnsi="Arial" w:cs="Arial"/>
          <w:b/>
          <w:sz w:val="24"/>
          <w:szCs w:val="24"/>
        </w:rPr>
        <w:t>TenCate</w:t>
      </w:r>
      <w:proofErr w:type="spellEnd"/>
      <w:r w:rsidR="00B860EF" w:rsidRPr="00411B0C">
        <w:rPr>
          <w:rFonts w:ascii="Arial" w:eastAsiaTheme="minorEastAsia" w:hAnsi="Arial" w:cs="Arial"/>
          <w:b/>
          <w:sz w:val="24"/>
          <w:szCs w:val="24"/>
        </w:rPr>
        <w:t xml:space="preserve"> Mirafi®</w:t>
      </w:r>
      <w:r w:rsidR="00B860EF" w:rsidRPr="00411B0C">
        <w:rPr>
          <w:rFonts w:ascii="Arial" w:eastAsiaTheme="minorEastAsia" w:hAnsi="Arial" w:cs="Arial"/>
          <w:sz w:val="24"/>
          <w:szCs w:val="24"/>
        </w:rPr>
        <w:t xml:space="preserve"> fueron determinados a través de calibraciones exhaustivas </w:t>
      </w:r>
      <w:r w:rsidR="0018011C">
        <w:rPr>
          <w:rFonts w:ascii="Arial" w:eastAsiaTheme="minorEastAsia" w:hAnsi="Arial" w:cs="Arial"/>
          <w:sz w:val="24"/>
          <w:szCs w:val="24"/>
        </w:rPr>
        <w:t xml:space="preserve">siguiendo </w:t>
      </w:r>
      <w:r w:rsidR="00B860EF" w:rsidRPr="00411B0C">
        <w:rPr>
          <w:rFonts w:ascii="Arial" w:eastAsiaTheme="minorEastAsia" w:hAnsi="Arial" w:cs="Arial"/>
          <w:sz w:val="24"/>
          <w:szCs w:val="24"/>
        </w:rPr>
        <w:t xml:space="preserve">las guías de AASHTO </w:t>
      </w:r>
      <w:r w:rsidR="0018011C">
        <w:rPr>
          <w:rFonts w:ascii="Arial" w:eastAsiaTheme="minorEastAsia" w:hAnsi="Arial" w:cs="Arial"/>
          <w:sz w:val="24"/>
          <w:szCs w:val="24"/>
        </w:rPr>
        <w:t xml:space="preserve">R50-09 </w:t>
      </w:r>
      <w:r w:rsidR="00B860EF" w:rsidRPr="00411B0C">
        <w:rPr>
          <w:rFonts w:ascii="Arial" w:eastAsiaTheme="minorEastAsia" w:hAnsi="Arial" w:cs="Arial"/>
          <w:sz w:val="24"/>
          <w:szCs w:val="24"/>
        </w:rPr>
        <w:t xml:space="preserve">y la FHWA, usando los resultados de pruebas con cargas cíclicas a gran escala. Dicha calibración fue realizada usando capas con diferentes espesores </w:t>
      </w:r>
      <w:r w:rsidR="0018011C">
        <w:rPr>
          <w:rFonts w:ascii="Arial" w:eastAsiaTheme="minorEastAsia" w:hAnsi="Arial" w:cs="Arial"/>
          <w:sz w:val="24"/>
          <w:szCs w:val="24"/>
        </w:rPr>
        <w:t>e índices de</w:t>
      </w:r>
      <w:r w:rsidR="00B860EF" w:rsidRPr="00411B0C">
        <w:rPr>
          <w:rFonts w:ascii="Arial" w:eastAsiaTheme="minorEastAsia" w:hAnsi="Arial" w:cs="Arial"/>
          <w:sz w:val="24"/>
          <w:szCs w:val="24"/>
        </w:rPr>
        <w:t xml:space="preserve"> resistencia para diversas secciones de subrasante y bases granulares. Todas las calibraciones fueros monitoreadas para todas las cargas aplicadas, su frecuencia, niveles de deformación en el Geosintético y presión de poro provocada por el agua en la subrasante y en los suelos.  </w:t>
      </w:r>
    </w:p>
    <w:p w14:paraId="1EC40001" w14:textId="77777777" w:rsidR="009D451C" w:rsidRDefault="009D451C" w:rsidP="00B860EF">
      <w:pPr>
        <w:jc w:val="both"/>
        <w:rPr>
          <w:rFonts w:ascii="Arial" w:hAnsi="Arial" w:cs="Arial"/>
          <w:sz w:val="24"/>
          <w:szCs w:val="24"/>
        </w:rPr>
      </w:pPr>
      <w:bookmarkStart w:id="0" w:name="_GoBack"/>
      <w:bookmarkEnd w:id="0"/>
    </w:p>
    <w:p w14:paraId="666669DE" w14:textId="77777777" w:rsidR="0018011C" w:rsidRDefault="0018011C" w:rsidP="00B860EF">
      <w:pPr>
        <w:jc w:val="both"/>
        <w:rPr>
          <w:rFonts w:ascii="Arial" w:hAnsi="Arial" w:cs="Arial"/>
          <w:sz w:val="24"/>
          <w:szCs w:val="24"/>
        </w:rPr>
      </w:pPr>
      <w:proofErr w:type="spellStart"/>
      <w:r>
        <w:rPr>
          <w:rFonts w:ascii="Arial" w:hAnsi="Arial" w:cs="Arial"/>
          <w:sz w:val="24"/>
          <w:szCs w:val="24"/>
        </w:rPr>
        <w:t>Atte</w:t>
      </w:r>
      <w:proofErr w:type="spellEnd"/>
      <w:r>
        <w:rPr>
          <w:rFonts w:ascii="Arial" w:hAnsi="Arial" w:cs="Arial"/>
          <w:sz w:val="24"/>
          <w:szCs w:val="24"/>
        </w:rPr>
        <w:t>:</w:t>
      </w:r>
    </w:p>
    <w:p w14:paraId="01F84EF5" w14:textId="77777777" w:rsidR="0018011C" w:rsidRDefault="00B860EF" w:rsidP="0018011C">
      <w:pPr>
        <w:spacing w:after="0"/>
        <w:jc w:val="both"/>
        <w:rPr>
          <w:rFonts w:ascii="Arial" w:hAnsi="Arial" w:cs="Arial"/>
          <w:sz w:val="24"/>
          <w:szCs w:val="24"/>
        </w:rPr>
      </w:pPr>
      <w:r>
        <w:rPr>
          <w:rFonts w:ascii="Arial" w:hAnsi="Arial" w:cs="Arial"/>
          <w:sz w:val="24"/>
          <w:szCs w:val="24"/>
        </w:rPr>
        <w:t>Juan Pablo Broissin López</w:t>
      </w:r>
    </w:p>
    <w:p w14:paraId="2DF9B04C" w14:textId="77777777" w:rsidR="00B860EF" w:rsidRDefault="00B860EF" w:rsidP="0018011C">
      <w:pPr>
        <w:spacing w:after="0"/>
        <w:jc w:val="both"/>
        <w:rPr>
          <w:rFonts w:ascii="Arial" w:hAnsi="Arial" w:cs="Arial"/>
          <w:sz w:val="24"/>
          <w:szCs w:val="24"/>
        </w:rPr>
      </w:pPr>
      <w:proofErr w:type="spellStart"/>
      <w:r>
        <w:rPr>
          <w:rFonts w:ascii="Arial" w:hAnsi="Arial" w:cs="Arial"/>
          <w:sz w:val="24"/>
          <w:szCs w:val="24"/>
        </w:rPr>
        <w:t>TenCate</w:t>
      </w:r>
      <w:proofErr w:type="spellEnd"/>
      <w:r>
        <w:rPr>
          <w:rFonts w:ascii="Arial" w:hAnsi="Arial" w:cs="Arial"/>
          <w:sz w:val="24"/>
          <w:szCs w:val="24"/>
        </w:rPr>
        <w:t xml:space="preserve"> </w:t>
      </w:r>
      <w:proofErr w:type="spellStart"/>
      <w:r>
        <w:rPr>
          <w:rFonts w:ascii="Arial" w:hAnsi="Arial" w:cs="Arial"/>
          <w:sz w:val="24"/>
          <w:szCs w:val="24"/>
        </w:rPr>
        <w:t>Geosynthetics</w:t>
      </w:r>
      <w:proofErr w:type="spellEnd"/>
      <w:r w:rsidR="0018011C">
        <w:rPr>
          <w:rFonts w:ascii="Arial" w:hAnsi="Arial" w:cs="Arial"/>
          <w:sz w:val="24"/>
          <w:szCs w:val="24"/>
        </w:rPr>
        <w:t xml:space="preserve"> </w:t>
      </w:r>
      <w:proofErr w:type="spellStart"/>
      <w:r w:rsidR="0018011C">
        <w:rPr>
          <w:rFonts w:ascii="Arial" w:hAnsi="Arial" w:cs="Arial"/>
          <w:sz w:val="24"/>
          <w:szCs w:val="24"/>
        </w:rPr>
        <w:t>Latam</w:t>
      </w:r>
      <w:proofErr w:type="spellEnd"/>
      <w:r w:rsidR="0018011C">
        <w:rPr>
          <w:rFonts w:ascii="Arial" w:hAnsi="Arial" w:cs="Arial"/>
          <w:sz w:val="24"/>
          <w:szCs w:val="24"/>
        </w:rPr>
        <w:t>.</w:t>
      </w:r>
    </w:p>
    <w:p w14:paraId="5EED1C4A" w14:textId="77777777" w:rsidR="00B860EF" w:rsidRDefault="00B860EF" w:rsidP="0018011C">
      <w:pPr>
        <w:spacing w:after="0"/>
        <w:jc w:val="both"/>
        <w:rPr>
          <w:rFonts w:ascii="Arial" w:hAnsi="Arial" w:cs="Arial"/>
          <w:sz w:val="24"/>
          <w:szCs w:val="24"/>
        </w:rPr>
      </w:pPr>
      <w:r>
        <w:rPr>
          <w:rFonts w:ascii="Arial" w:hAnsi="Arial" w:cs="Arial"/>
          <w:sz w:val="24"/>
          <w:szCs w:val="24"/>
        </w:rPr>
        <w:t xml:space="preserve">EBM </w:t>
      </w:r>
      <w:proofErr w:type="spellStart"/>
      <w:r>
        <w:rPr>
          <w:rFonts w:ascii="Arial" w:hAnsi="Arial" w:cs="Arial"/>
          <w:sz w:val="24"/>
          <w:szCs w:val="24"/>
        </w:rPr>
        <w:t>Latam</w:t>
      </w:r>
      <w:proofErr w:type="spellEnd"/>
      <w:r>
        <w:rPr>
          <w:rFonts w:ascii="Arial" w:hAnsi="Arial" w:cs="Arial"/>
          <w:sz w:val="24"/>
          <w:szCs w:val="24"/>
        </w:rPr>
        <w:t>.</w:t>
      </w:r>
    </w:p>
    <w:p w14:paraId="49633B11" w14:textId="77777777" w:rsidR="0018011C" w:rsidRDefault="0018011C" w:rsidP="0018011C">
      <w:pPr>
        <w:spacing w:after="0"/>
        <w:jc w:val="both"/>
        <w:rPr>
          <w:rFonts w:ascii="Arial" w:hAnsi="Arial" w:cs="Arial"/>
          <w:sz w:val="24"/>
          <w:szCs w:val="24"/>
        </w:rPr>
      </w:pPr>
      <w:r>
        <w:rPr>
          <w:rFonts w:ascii="Arial" w:hAnsi="Arial" w:cs="Arial"/>
          <w:sz w:val="24"/>
          <w:szCs w:val="24"/>
        </w:rPr>
        <w:t>+52 1 5542631451</w:t>
      </w:r>
    </w:p>
    <w:p w14:paraId="7EDDE280" w14:textId="77777777" w:rsidR="00B860EF" w:rsidRDefault="00B860EF"/>
    <w:sectPr w:rsidR="00B860EF">
      <w:head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58A33B" w14:textId="77777777" w:rsidR="00203C76" w:rsidRDefault="00203C76" w:rsidP="00B860EF">
      <w:pPr>
        <w:spacing w:after="0" w:line="240" w:lineRule="auto"/>
      </w:pPr>
      <w:r>
        <w:separator/>
      </w:r>
    </w:p>
  </w:endnote>
  <w:endnote w:type="continuationSeparator" w:id="0">
    <w:p w14:paraId="2A7F6F90" w14:textId="77777777" w:rsidR="00203C76" w:rsidRDefault="00203C76" w:rsidP="00B860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4AECF1" w14:textId="77777777" w:rsidR="00203C76" w:rsidRDefault="00203C76" w:rsidP="00B860EF">
      <w:pPr>
        <w:spacing w:after="0" w:line="240" w:lineRule="auto"/>
      </w:pPr>
      <w:r>
        <w:separator/>
      </w:r>
    </w:p>
  </w:footnote>
  <w:footnote w:type="continuationSeparator" w:id="0">
    <w:p w14:paraId="1E9123B0" w14:textId="77777777" w:rsidR="00203C76" w:rsidRDefault="00203C76" w:rsidP="00B860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3FCCE" w14:textId="77777777" w:rsidR="00B860EF" w:rsidRDefault="00B860EF">
    <w:pPr>
      <w:pStyle w:val="Encabezado"/>
    </w:pPr>
    <w:r>
      <w:rPr>
        <w:noProof/>
      </w:rPr>
      <w:drawing>
        <wp:inline distT="0" distB="0" distL="0" distR="0" wp14:anchorId="15AC95CD" wp14:editId="18FB8BFA">
          <wp:extent cx="1568095" cy="361950"/>
          <wp:effectExtent l="0" t="0" r="0" b="0"/>
          <wp:docPr id="2" name="Imagen 2"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Geosynthetics.jpg"/>
                  <pic:cNvPicPr/>
                </pic:nvPicPr>
                <pic:blipFill>
                  <a:blip r:embed="rId1">
                    <a:extLst>
                      <a:ext uri="{28A0092B-C50C-407E-A947-70E740481C1C}">
                        <a14:useLocalDpi xmlns:a14="http://schemas.microsoft.com/office/drawing/2010/main" val="0"/>
                      </a:ext>
                    </a:extLst>
                  </a:blip>
                  <a:stretch>
                    <a:fillRect/>
                  </a:stretch>
                </pic:blipFill>
                <pic:spPr>
                  <a:xfrm>
                    <a:off x="0" y="0"/>
                    <a:ext cx="1576627" cy="36391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26.5pt;height:24pt" o:bullet="t">
        <v:imagedata r:id="rId1" o:title="TenCate lazo"/>
      </v:shape>
    </w:pict>
  </w:numPicBullet>
  <w:abstractNum w:abstractNumId="0" w15:restartNumberingAfterBreak="0">
    <w:nsid w:val="264F5EE2"/>
    <w:multiLevelType w:val="hybridMultilevel"/>
    <w:tmpl w:val="B8D2FFB2"/>
    <w:lvl w:ilvl="0" w:tplc="614891E6">
      <w:start w:val="1"/>
      <w:numFmt w:val="bullet"/>
      <w:lvlText w:val=""/>
      <w:lvlPicBulletId w:val="0"/>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6FEE4186"/>
    <w:multiLevelType w:val="hybridMultilevel"/>
    <w:tmpl w:val="5A8C23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0EF"/>
    <w:rsid w:val="0018011C"/>
    <w:rsid w:val="00203C76"/>
    <w:rsid w:val="005F15B4"/>
    <w:rsid w:val="00815A98"/>
    <w:rsid w:val="009D451C"/>
    <w:rsid w:val="00AF6F1E"/>
    <w:rsid w:val="00B568A7"/>
    <w:rsid w:val="00B860EF"/>
    <w:rsid w:val="00FA13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1F3E16"/>
  <w15:chartTrackingRefBased/>
  <w15:docId w15:val="{D146B7F0-E49A-461D-B42A-B592D07D0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tulo1">
    <w:name w:val="heading 1"/>
    <w:basedOn w:val="Normal"/>
    <w:next w:val="Normal"/>
    <w:link w:val="Ttulo1Car"/>
    <w:uiPriority w:val="9"/>
    <w:qFormat/>
    <w:rsid w:val="00B860E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860EF"/>
    <w:pPr>
      <w:spacing w:after="200" w:line="276" w:lineRule="auto"/>
      <w:ind w:left="720"/>
      <w:contextualSpacing/>
    </w:pPr>
  </w:style>
  <w:style w:type="character" w:customStyle="1" w:styleId="Ttulo1Car">
    <w:name w:val="Título 1 Car"/>
    <w:basedOn w:val="Fuentedeprrafopredeter"/>
    <w:link w:val="Ttulo1"/>
    <w:uiPriority w:val="9"/>
    <w:rsid w:val="00B860EF"/>
    <w:rPr>
      <w:rFonts w:asciiTheme="majorHAnsi" w:eastAsiaTheme="majorEastAsia" w:hAnsiTheme="majorHAnsi" w:cstheme="majorBidi"/>
      <w:color w:val="2F5496" w:themeColor="accent1" w:themeShade="BF"/>
      <w:sz w:val="32"/>
      <w:szCs w:val="32"/>
    </w:rPr>
  </w:style>
  <w:style w:type="paragraph" w:styleId="Encabezado">
    <w:name w:val="header"/>
    <w:basedOn w:val="Normal"/>
    <w:link w:val="EncabezadoCar"/>
    <w:uiPriority w:val="99"/>
    <w:unhideWhenUsed/>
    <w:rsid w:val="00B860E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860EF"/>
  </w:style>
  <w:style w:type="paragraph" w:styleId="Piedepgina">
    <w:name w:val="footer"/>
    <w:basedOn w:val="Normal"/>
    <w:link w:val="PiedepginaCar"/>
    <w:uiPriority w:val="99"/>
    <w:unhideWhenUsed/>
    <w:rsid w:val="00B860E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860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2</Pages>
  <Words>466</Words>
  <Characters>2568</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Pablo Broissin</dc:creator>
  <cp:keywords/>
  <dc:description/>
  <cp:lastModifiedBy>Juan Pablo Broissin</cp:lastModifiedBy>
  <cp:revision>9</cp:revision>
  <cp:lastPrinted>2020-04-09T16:17:00Z</cp:lastPrinted>
  <dcterms:created xsi:type="dcterms:W3CDTF">2020-04-09T16:00:00Z</dcterms:created>
  <dcterms:modified xsi:type="dcterms:W3CDTF">2020-04-09T16:52:00Z</dcterms:modified>
</cp:coreProperties>
</file>